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jc w:val="center"/>
        <w:rPr>
          <w:b/>
          <w:b/>
          <w:sz w:val="52"/>
          <w:szCs w:val="52"/>
          <w:lang w:val="it-IT"/>
        </w:rPr>
      </w:pPr>
      <w:r>
        <w:rPr>
          <w:b/>
          <w:sz w:val="52"/>
          <w:szCs w:val="52"/>
          <w:lang w:val="it-IT"/>
        </w:rPr>
      </w:r>
    </w:p>
    <w:p>
      <w:pPr>
        <w:pStyle w:val="ListParagraph"/>
        <w:jc w:val="center"/>
        <w:rPr>
          <w:b/>
          <w:b/>
          <w:sz w:val="52"/>
          <w:szCs w:val="52"/>
          <w:lang w:val="it-IT"/>
        </w:rPr>
      </w:pPr>
      <w:r>
        <w:rPr>
          <w:b/>
          <w:sz w:val="52"/>
          <w:szCs w:val="52"/>
          <w:lang w:val="it-IT"/>
        </w:rPr>
      </w:r>
    </w:p>
    <w:p>
      <w:pPr>
        <w:pStyle w:val="ListParagraph"/>
        <w:jc w:val="center"/>
        <w:rPr>
          <w:b/>
          <w:b/>
          <w:sz w:val="52"/>
          <w:szCs w:val="52"/>
          <w:lang w:val="it-IT"/>
        </w:rPr>
      </w:pPr>
      <w:r>
        <w:rPr>
          <w: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2286000" cy="200025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2286000" cy="2000250"/>
                    </a:xfrm>
                    <a:prstGeom prst="rect">
                      <a:avLst/>
                    </a:prstGeom>
                  </pic:spPr>
                </pic:pic>
              </a:graphicData>
            </a:graphic>
          </wp:anchor>
        </w:drawing>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ind w:left="720" w:right="0" w:hanging="0"/>
        <w:jc w:val="center"/>
        <w:rPr>
          <w:b/>
          <w:b/>
          <w:color w:val="1B1B1B"/>
          <w:sz w:val="52"/>
          <w:szCs w:val="52"/>
          <w:lang w:val="it-IT"/>
        </w:rPr>
      </w:pPr>
      <w:r>
        <w:rPr>
          <w:b/>
          <w:color w:val="1B1B1B"/>
          <w:sz w:val="52"/>
          <w:szCs w:val="52"/>
          <w:lang w:val="it-IT"/>
        </w:rPr>
      </w:r>
    </w:p>
    <w:p>
      <w:pPr>
        <w:pStyle w:val="ListParagraph"/>
        <w:jc w:val="center"/>
        <w:rPr/>
      </w:pPr>
      <w:r>
        <w:rPr>
          <w:rFonts w:ascii="Times New Roman" w:hAnsi="Times New Roman"/>
          <w:b/>
          <w:color w:val="auto"/>
          <w:sz w:val="52"/>
          <w:szCs w:val="52"/>
        </w:rPr>
        <w:t>PIELLE LIVORNO</w:t>
      </w:r>
    </w:p>
    <w:p>
      <w:pPr>
        <w:pStyle w:val="ListParagraph"/>
        <w:jc w:val="center"/>
        <w:rPr/>
      </w:pPr>
      <w:r>
        <w:rPr>
          <w:rFonts w:ascii="Times New Roman" w:hAnsi="Times New Roman"/>
          <w:b/>
          <w:color w:val="auto"/>
          <w:sz w:val="52"/>
          <w:szCs w:val="52"/>
        </w:rPr>
        <w:t>Società Sportiva Dilettantistica a Responsabilità Limitata</w:t>
      </w:r>
    </w:p>
    <w:p>
      <w:pPr>
        <w:pStyle w:val="ListParagraph"/>
        <w:jc w:val="center"/>
        <w:rPr>
          <w:rFonts w:ascii="Times New Roman" w:hAnsi="Times New Roman"/>
          <w:b/>
          <w:b/>
          <w:color w:val="auto"/>
        </w:rPr>
      </w:pPr>
      <w:r>
        <w:rPr>
          <w:rFonts w:ascii="Times New Roman" w:hAnsi="Times New Roman"/>
          <w:b/>
          <w:color w:val="auto"/>
        </w:rPr>
      </w:r>
    </w:p>
    <w:p>
      <w:pPr>
        <w:pStyle w:val="ListParagraph"/>
        <w:jc w:val="center"/>
        <w:rPr>
          <w:rFonts w:ascii="Times New Roman" w:hAnsi="Times New Roman"/>
          <w:b/>
          <w:b/>
          <w:color w:val="auto"/>
        </w:rPr>
      </w:pPr>
      <w:r>
        <w:rPr>
          <w:rFonts w:ascii="Times New Roman" w:hAnsi="Times New Roman"/>
          <w:b/>
          <w:color w:val="auto"/>
        </w:rPr>
      </w:r>
    </w:p>
    <w:p>
      <w:pPr>
        <w:pStyle w:val="ListParagraph"/>
        <w:jc w:val="center"/>
        <w:rPr>
          <w:rFonts w:ascii="Times New Roman" w:hAnsi="Times New Roman" w:cs="Calibri"/>
          <w:b/>
          <w:b/>
          <w:sz w:val="32"/>
          <w:szCs w:val="32"/>
        </w:rPr>
      </w:pPr>
      <w:r>
        <w:rPr>
          <w:rFonts w:cs="Calibri" w:ascii="Times New Roman" w:hAnsi="Times New Roman"/>
          <w:b/>
          <w:sz w:val="32"/>
          <w:szCs w:val="32"/>
        </w:rPr>
      </w:r>
    </w:p>
    <w:p>
      <w:pPr>
        <w:pStyle w:val="ListParagraph"/>
        <w:jc w:val="center"/>
        <w:rPr>
          <w:rFonts w:ascii="Times New Roman" w:hAnsi="Times New Roman" w:cs="Calibri"/>
          <w:b/>
          <w:b/>
          <w:sz w:val="32"/>
          <w:szCs w:val="32"/>
        </w:rPr>
      </w:pPr>
      <w:r>
        <w:rPr>
          <w:rFonts w:cs="Calibri" w:ascii="Times New Roman" w:hAnsi="Times New Roman"/>
          <w:b/>
          <w:sz w:val="32"/>
          <w:szCs w:val="32"/>
        </w:rPr>
      </w:r>
    </w:p>
    <w:p>
      <w:pPr>
        <w:pStyle w:val="Normal"/>
        <w:ind w:left="720" w:right="0" w:hanging="0"/>
        <w:jc w:val="center"/>
        <w:rPr/>
      </w:pPr>
      <w:r>
        <w:rPr>
          <w:rFonts w:cs="Calibri" w:ascii="Times New Roman" w:hAnsi="Times New Roman"/>
          <w:b/>
          <w:color w:val="auto"/>
          <w:sz w:val="32"/>
          <w:szCs w:val="32"/>
          <w:lang w:val="it-IT"/>
        </w:rPr>
        <w:t xml:space="preserve">Modello organizzativo e di controllo dell’attività sportiva e codici di condotta </w:t>
      </w:r>
      <w:r>
        <w:rPr>
          <w:rFonts w:cs="Calibri" w:ascii="Times New Roman" w:hAnsi="Times New Roman"/>
          <w:b/>
          <w:i/>
          <w:iCs/>
          <w:color w:val="auto"/>
          <w:sz w:val="32"/>
          <w:szCs w:val="32"/>
          <w:lang w:val="it-IT"/>
        </w:rPr>
        <w:t>ex</w:t>
      </w:r>
      <w:r>
        <w:rPr>
          <w:rFonts w:cs="Calibri" w:ascii="Times New Roman" w:hAnsi="Times New Roman"/>
          <w:b/>
          <w:color w:val="auto"/>
          <w:sz w:val="32"/>
          <w:szCs w:val="32"/>
          <w:lang w:val="it-IT"/>
        </w:rPr>
        <w:t xml:space="preserve"> art. 16, comma 4, Dlgs. 39/2021</w:t>
      </w:r>
    </w:p>
    <w:p>
      <w:pPr>
        <w:pStyle w:val="ListParagraph"/>
        <w:ind w:left="720" w:right="0" w:hanging="0"/>
        <w:jc w:val="center"/>
        <w:rPr>
          <w:rFonts w:ascii="Times New Roman" w:hAnsi="Times New Roman" w:cs="Calibri"/>
          <w:b/>
          <w:b/>
          <w:sz w:val="32"/>
          <w:szCs w:val="32"/>
          <w:lang w:val="it-IT"/>
        </w:rPr>
      </w:pPr>
      <w:r>
        <w:rPr>
          <w:rFonts w:cs="Calibri" w:ascii="Times New Roman" w:hAnsi="Times New Roman"/>
          <w:b/>
          <w:sz w:val="32"/>
          <w:szCs w:val="32"/>
          <w:lang w:val="it-IT"/>
        </w:rPr>
      </w:r>
    </w:p>
    <w:p>
      <w:pPr>
        <w:pStyle w:val="ListParagraph"/>
        <w:ind w:left="720" w:right="0" w:hanging="0"/>
        <w:jc w:val="center"/>
        <w:rPr>
          <w:rFonts w:cs="Calibri"/>
          <w:b/>
          <w:b/>
          <w:color w:val="1B1B1B"/>
          <w:sz w:val="32"/>
          <w:szCs w:val="32"/>
          <w:lang w:val="it-IT"/>
        </w:rPr>
      </w:pPr>
      <w:r>
        <w:rPr>
          <w:rFonts w:cs="Calibri"/>
          <w:b/>
          <w:color w:val="1B1B1B"/>
          <w:sz w:val="32"/>
          <w:szCs w:val="32"/>
          <w:lang w:val="it-IT"/>
        </w:rPr>
      </w:r>
    </w:p>
    <w:p>
      <w:pPr>
        <w:pStyle w:val="ListParagraph"/>
        <w:ind w:left="720" w:right="0" w:hanging="0"/>
        <w:jc w:val="center"/>
        <w:rPr/>
      </w:pPr>
      <w:r>
        <w:rPr>
          <w:rFonts w:cs="Calibri" w:ascii="Times New Roman" w:hAnsi="Times New Roman"/>
          <w:b/>
          <w:color w:val="1B1B1B"/>
          <w:sz w:val="32"/>
          <w:szCs w:val="32"/>
          <w:lang w:val="it-IT"/>
        </w:rPr>
        <w:t>All. 1</w:t>
      </w:r>
    </w:p>
    <w:p>
      <w:pPr>
        <w:pStyle w:val="Normal"/>
        <w:jc w:val="center"/>
        <w:rPr/>
      </w:pPr>
      <w:r>
        <w:rPr>
          <w:rFonts w:cs="Calibri" w:ascii="Times New Roman" w:hAnsi="Times New Roman"/>
          <w:b/>
          <w:color w:val="1B1B1B"/>
          <w:sz w:val="28"/>
          <w:szCs w:val="28"/>
          <w:lang w:val="it-IT"/>
        </w:rPr>
        <w:t>Composizione, compensi, cause di (in)eleggibilità, decadenza e sospensione dei componenti del Responsabile contro abusi, violenze e discriminazioni</w:t>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Normal"/>
        <w:rPr>
          <w:rFonts w:ascii="Times New Roman" w:hAnsi="Times New Roman"/>
          <w:color w:val="1B1B1B"/>
          <w:lang w:val="it-IT"/>
        </w:rPr>
      </w:pPr>
      <w:r>
        <w:rPr>
          <w:rFonts w:ascii="Times New Roman" w:hAnsi="Times New Roman"/>
          <w:color w:val="1B1B1B"/>
          <w:lang w:val="it-IT"/>
        </w:rPr>
      </w:r>
    </w:p>
    <w:p>
      <w:pPr>
        <w:pStyle w:val="Default"/>
        <w:spacing w:lineRule="auto" w:line="276"/>
        <w:jc w:val="both"/>
        <w:rPr/>
      </w:pPr>
      <w:r>
        <w:rPr>
          <w:rFonts w:cs="Calibri" w:ascii="Times New Roman" w:hAnsi="Times New Roman"/>
          <w:color w:val="1B1B1B"/>
          <w:sz w:val="28"/>
          <w:szCs w:val="28"/>
          <w:lang w:val="it-IT"/>
        </w:rPr>
        <w:t>Il Responsabile contro abusi, violenze e discriminazioni ha composizione monocratica e dura in carica tre anni, con possibilità di rinnovo dell’incarico.</w:t>
      </w:r>
    </w:p>
    <w:p>
      <w:pPr>
        <w:pStyle w:val="Default"/>
        <w:spacing w:lineRule="auto" w:line="276"/>
        <w:jc w:val="both"/>
        <w:rPr>
          <w:rFonts w:ascii="Times New Roman" w:hAnsi="Times New Roman" w:cs="Calibri"/>
          <w:sz w:val="28"/>
          <w:szCs w:val="28"/>
          <w:lang w:val="it-IT"/>
        </w:rPr>
      </w:pPr>
      <w:r>
        <w:rPr>
          <w:rFonts w:cs="Calibri" w:ascii="Times New Roman" w:hAnsi="Times New Roman"/>
          <w:sz w:val="28"/>
          <w:szCs w:val="28"/>
          <w:lang w:val="it-IT"/>
        </w:rPr>
      </w:r>
    </w:p>
    <w:p>
      <w:pPr>
        <w:pStyle w:val="Default"/>
        <w:spacing w:lineRule="auto" w:line="276"/>
        <w:jc w:val="both"/>
        <w:rPr/>
      </w:pPr>
      <w:r>
        <w:rPr>
          <w:rFonts w:cs="Calibri" w:ascii="Times New Roman" w:hAnsi="Times New Roman"/>
          <w:color w:val="1B1B1B"/>
          <w:sz w:val="28"/>
          <w:szCs w:val="28"/>
          <w:lang w:val="it-IT"/>
        </w:rPr>
        <w:t xml:space="preserve">Il Consiglio Direttivo di </w:t>
      </w:r>
      <w:bookmarkStart w:id="0" w:name="__DdeLink__1744_2213132343"/>
      <w:bookmarkStart w:id="1" w:name="__DdeLink__604_3931335793"/>
      <w:r>
        <w:rPr>
          <w:rFonts w:cs="Calibri" w:ascii="Times New Roman" w:hAnsi="Times New Roman"/>
          <w:color w:val="1B1B1B"/>
          <w:sz w:val="28"/>
          <w:szCs w:val="28"/>
          <w:lang w:val="it-IT"/>
        </w:rPr>
        <w:t>P</w:t>
      </w:r>
      <w:bookmarkEnd w:id="1"/>
      <w:r>
        <w:rPr>
          <w:rFonts w:cs="Calibri" w:ascii="Times New Roman" w:hAnsi="Times New Roman"/>
          <w:color w:val="1B1B1B"/>
          <w:sz w:val="28"/>
          <w:szCs w:val="28"/>
          <w:lang w:val="it-IT"/>
        </w:rPr>
        <w:t>IELLE</w:t>
      </w:r>
      <w:bookmarkEnd w:id="0"/>
      <w:r>
        <w:rPr>
          <w:rFonts w:cs="Calibri" w:ascii="Times New Roman" w:hAnsi="Times New Roman"/>
          <w:color w:val="1B1B1B"/>
          <w:sz w:val="28"/>
          <w:szCs w:val="28"/>
          <w:lang w:val="it-IT"/>
        </w:rPr>
        <w:t xml:space="preserve"> stabilisce per l’intera durata della carica il compenso annuo spettante al Responsabile contro abusi, violenze e discriminazioni. </w:t>
      </w:r>
    </w:p>
    <w:p>
      <w:pPr>
        <w:pStyle w:val="Default"/>
        <w:spacing w:lineRule="auto" w:line="276"/>
        <w:jc w:val="both"/>
        <w:rPr>
          <w:rFonts w:ascii="Times New Roman" w:hAnsi="Times New Roman" w:cs="Calibri"/>
          <w:sz w:val="28"/>
          <w:szCs w:val="28"/>
          <w:lang w:val="it-IT"/>
        </w:rPr>
      </w:pPr>
      <w:r>
        <w:rPr>
          <w:rFonts w:cs="Calibri" w:ascii="Times New Roman" w:hAnsi="Times New Roman"/>
          <w:sz w:val="28"/>
          <w:szCs w:val="28"/>
          <w:lang w:val="it-IT"/>
        </w:rPr>
      </w:r>
    </w:p>
    <w:p>
      <w:pPr>
        <w:pStyle w:val="Default"/>
        <w:spacing w:lineRule="auto" w:line="276"/>
        <w:jc w:val="both"/>
        <w:rPr>
          <w:color w:val="CE181E"/>
        </w:rPr>
      </w:pPr>
      <w:r>
        <w:rPr>
          <w:rFonts w:cs="Calibri" w:ascii="Times New Roman" w:hAnsi="Times New Roman"/>
          <w:color w:val="1B1B1B"/>
          <w:sz w:val="28"/>
          <w:szCs w:val="28"/>
          <w:lang w:val="it-IT"/>
        </w:rPr>
        <w:t xml:space="preserve">Al </w:t>
      </w:r>
      <w:r>
        <w:rPr>
          <w:rFonts w:cs="Calibri" w:ascii="Times New Roman" w:hAnsi="Times New Roman"/>
          <w:b w:val="false"/>
          <w:bCs w:val="false"/>
          <w:color w:val="1B1B1B"/>
          <w:sz w:val="28"/>
          <w:szCs w:val="28"/>
          <w:lang w:val="it-IT"/>
        </w:rPr>
        <w:t>Responsabile contro abusi, violenze e discriminazioni</w:t>
      </w:r>
      <w:r>
        <w:rPr>
          <w:rFonts w:cs="Calibri" w:ascii="Times New Roman" w:hAnsi="Times New Roman"/>
          <w:color w:val="1B1B1B"/>
          <w:sz w:val="28"/>
          <w:szCs w:val="28"/>
          <w:lang w:val="it-IT"/>
        </w:rPr>
        <w:t xml:space="preserve"> compete, inoltre, il rimborso delle spese vive e documentate sostenute nell’espletamento dell’incarico. </w:t>
      </w:r>
    </w:p>
    <w:p>
      <w:pPr>
        <w:pStyle w:val="Default"/>
        <w:spacing w:lineRule="auto" w:line="276"/>
        <w:jc w:val="both"/>
        <w:rPr>
          <w:rFonts w:ascii="Times New Roman" w:hAnsi="Times New Roman" w:cs="Calibri"/>
          <w:b/>
          <w:b/>
          <w:bCs/>
          <w:color w:val="1B1B1B"/>
          <w:sz w:val="28"/>
          <w:szCs w:val="28"/>
          <w:lang w:val="it-IT"/>
        </w:rPr>
      </w:pPr>
      <w:r>
        <w:rPr>
          <w:rFonts w:cs="Calibri" w:ascii="Times New Roman" w:hAnsi="Times New Roman"/>
          <w:b/>
          <w:bCs/>
          <w:color w:val="1B1B1B"/>
          <w:sz w:val="28"/>
          <w:szCs w:val="28"/>
          <w:lang w:val="it-IT"/>
        </w:rPr>
      </w:r>
    </w:p>
    <w:p>
      <w:pPr>
        <w:pStyle w:val="Default"/>
        <w:spacing w:lineRule="auto" w:line="276"/>
        <w:jc w:val="both"/>
        <w:rPr>
          <w:rFonts w:ascii="Calibri" w:hAnsi="Calibri" w:cs="Calibri"/>
          <w:b/>
          <w:b/>
          <w:bCs/>
          <w:sz w:val="28"/>
          <w:szCs w:val="28"/>
          <w:lang w:val="it-IT"/>
        </w:rPr>
      </w:pPr>
      <w:r>
        <w:rPr>
          <w:rFonts w:cs="Calibri" w:ascii="Times New Roman" w:hAnsi="Times New Roman"/>
          <w:b/>
          <w:bCs/>
          <w:color w:val="1B1B1B"/>
          <w:sz w:val="28"/>
          <w:szCs w:val="28"/>
          <w:lang w:val="it-IT"/>
        </w:rPr>
        <w:t xml:space="preserve">Ineleggibilità </w:t>
      </w:r>
    </w:p>
    <w:p>
      <w:pPr>
        <w:pStyle w:val="Default"/>
        <w:spacing w:lineRule="auto" w:line="276"/>
        <w:jc w:val="both"/>
        <w:rPr>
          <w:color w:val="1B1B1B"/>
        </w:rPr>
      </w:pPr>
      <w:r>
        <w:rPr>
          <w:rFonts w:cs="Calibri" w:ascii="Times New Roman" w:hAnsi="Times New Roman"/>
          <w:color w:val="1B1B1B"/>
          <w:sz w:val="28"/>
          <w:szCs w:val="28"/>
          <w:lang w:val="it-IT"/>
        </w:rPr>
        <w:t>Il Responsabile contro abusi, violenze e discriminazioni deve essere in possesso dei requisiti di onorabilità di cui all’art. 109 del D.Lgs. 1 settembre 1993, n. 385: in particolare, non possono essere nominati Responsabile contro abusi, violenze e discriminazioni coloro che si trovino nelle condizioni previste dall’art. 2399 c.c.</w:t>
      </w:r>
    </w:p>
    <w:p>
      <w:pPr>
        <w:pStyle w:val="Default"/>
        <w:spacing w:lineRule="auto" w:line="276"/>
        <w:jc w:val="both"/>
        <w:rPr>
          <w:rFonts w:ascii="Times New Roman" w:hAnsi="Times New Roman" w:cs="Calibri"/>
          <w:sz w:val="28"/>
          <w:szCs w:val="28"/>
          <w:lang w:val="it-IT"/>
        </w:rPr>
      </w:pPr>
      <w:r>
        <w:rPr>
          <w:rFonts w:cs="Calibri" w:ascii="Times New Roman" w:hAnsi="Times New Roman"/>
          <w:sz w:val="28"/>
          <w:szCs w:val="28"/>
          <w:lang w:val="it-IT"/>
        </w:rPr>
      </w:r>
    </w:p>
    <w:p>
      <w:pPr>
        <w:pStyle w:val="Default"/>
        <w:spacing w:lineRule="auto" w:line="276"/>
        <w:jc w:val="both"/>
        <w:rPr>
          <w:color w:val="1B1B1B"/>
        </w:rPr>
      </w:pPr>
      <w:r>
        <w:rPr>
          <w:rFonts w:cs="Calibri" w:ascii="Times New Roman" w:hAnsi="Times New Roman"/>
          <w:color w:val="1B1B1B"/>
          <w:sz w:val="28"/>
          <w:szCs w:val="28"/>
          <w:lang w:val="it-IT"/>
        </w:rPr>
        <w:t xml:space="preserve">Non possono inoltre essere nominati alla carica di </w:t>
      </w:r>
      <w:r>
        <w:rPr>
          <w:rFonts w:cs="Calibri" w:ascii="Times New Roman" w:hAnsi="Times New Roman"/>
          <w:b w:val="false"/>
          <w:bCs w:val="false"/>
          <w:color w:val="1B1B1B"/>
          <w:sz w:val="28"/>
          <w:szCs w:val="28"/>
          <w:lang w:val="it-IT"/>
        </w:rPr>
        <w:t>Responsabile contro abusi, violenze e discriminazioni</w:t>
      </w:r>
      <w:r>
        <w:rPr>
          <w:rFonts w:cs="Calibri" w:ascii="Times New Roman" w:hAnsi="Times New Roman"/>
          <w:color w:val="1B1B1B"/>
          <w:sz w:val="28"/>
          <w:szCs w:val="28"/>
          <w:lang w:val="it-IT"/>
        </w:rPr>
        <w:t xml:space="preserve"> coloro i quali sono stati condannati con sentenza divenuta definitiva, anche se emessa ex artt. 444 e ss. c.p.p. e anche se con pena condizionalmente sospesa, salvi gli effetti della riabilitazione: </w:t>
      </w:r>
    </w:p>
    <w:p>
      <w:pPr>
        <w:pStyle w:val="Default"/>
        <w:spacing w:lineRule="auto" w:line="276"/>
        <w:jc w:val="both"/>
        <w:rPr>
          <w:rFonts w:ascii="Times New Roman" w:hAnsi="Times New Roman" w:cs="Calibri"/>
          <w:sz w:val="28"/>
          <w:szCs w:val="28"/>
          <w:lang w:val="it-IT"/>
        </w:rPr>
      </w:pPr>
      <w:r>
        <w:rPr>
          <w:rFonts w:cs="Calibri" w:ascii="Times New Roman" w:hAnsi="Times New Roman"/>
          <w:sz w:val="28"/>
          <w:szCs w:val="28"/>
          <w:lang w:val="it-IT"/>
        </w:rPr>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1) alla reclusione per un tempo non inferiore ad un anno per uno dei delitti previsti dal regio decreto 16 marzo 1942, n. 267;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2) la pena detentiva per un tempo non inferiore ad un anno per uno dei reati previsti dalle norme che disciplinano l’attività bancaria, finanziaria, mobiliare, assicurativa e dalle norme in materia di mercati e valori mobiliari, di strumenti di pagamento;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3) alla reclusione per un tempo non inferiore ad un anno per un delitto contro la pubblica amministrazione, contro la fede pubblica, contro il patrimonio, contro l’economia pubblica, per un delitto in materia tributaria;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4) per un qualunque delitto non colposo alla pena della reclusione per un tempo non inferiore a due anni;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5) per uno dei reati previsti dal titolo XI del libro V del codice civile così come riformulato del D.Lgs. 61/02;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6) per un reato che importi e abbia importato la condanna ad una pena da cui derivi l’interdizione, anche temporanea, dai pubblici uffici, ovvero l’interdizione temporanea dagli uffici direttivi delle persone giuridiche e delle imprese; </w:t>
      </w:r>
    </w:p>
    <w:p>
      <w:pPr>
        <w:pStyle w:val="Default"/>
        <w:spacing w:lineRule="auto" w:line="276" w:before="0" w:after="130"/>
        <w:jc w:val="both"/>
        <w:rPr>
          <w:rFonts w:ascii="Calibri" w:hAnsi="Calibri" w:cs="Calibri"/>
          <w:sz w:val="28"/>
          <w:szCs w:val="28"/>
          <w:lang w:val="it-IT"/>
        </w:rPr>
      </w:pPr>
      <w:r>
        <w:rPr>
          <w:rFonts w:cs="Calibri" w:ascii="Times New Roman" w:hAnsi="Times New Roman"/>
          <w:color w:val="1B1B1B"/>
          <w:sz w:val="28"/>
          <w:szCs w:val="28"/>
          <w:lang w:val="it-IT"/>
        </w:rPr>
        <w:t xml:space="preserve">7) per uno o più reati tra quelli tassativamente previsti dal Decreto anche se con condanne a pene inferiori a quelle indicate ai punti precedenti; </w:t>
      </w:r>
    </w:p>
    <w:p>
      <w:pPr>
        <w:pStyle w:val="Default"/>
        <w:spacing w:lineRule="auto" w:line="276" w:before="0" w:after="130"/>
        <w:jc w:val="both"/>
        <w:rPr>
          <w:color w:val="CE181E"/>
        </w:rPr>
      </w:pPr>
      <w:r>
        <w:rPr>
          <w:rFonts w:cs="Calibri" w:ascii="Times New Roman" w:hAnsi="Times New Roman"/>
          <w:color w:val="1B1B1B"/>
          <w:sz w:val="28"/>
          <w:szCs w:val="28"/>
          <w:lang w:val="it-IT"/>
        </w:rPr>
        <w:t xml:space="preserve">8) coloro nei cui confronti sia stata applicata in via definitiva una delle misure di prevenzione previste dall’art. 10, comma 3, della legge 31 maggio 1965, n. 575, come sostituito dall’articolo 3 della legge 19 marzo 1990, n. 55 e successive modificazioni; </w:t>
      </w:r>
    </w:p>
    <w:p>
      <w:pPr>
        <w:pStyle w:val="Default"/>
        <w:spacing w:lineRule="auto" w:line="276"/>
        <w:jc w:val="both"/>
        <w:rPr>
          <w:color w:val="CE181E"/>
        </w:rPr>
      </w:pPr>
      <w:r>
        <w:rPr>
          <w:rFonts w:cs="Calibri" w:ascii="Times New Roman" w:hAnsi="Times New Roman"/>
          <w:color w:val="1B1B1B"/>
          <w:sz w:val="28"/>
          <w:szCs w:val="28"/>
          <w:lang w:val="it-IT"/>
        </w:rPr>
        <w:t>9) coloro nei cui confronti siano state applicate le sanzioni amministrative accessorie previste dall’art. 187 quater Decreto Legislativo n. 58/1998.</w:t>
      </w:r>
    </w:p>
    <w:p>
      <w:pPr>
        <w:pStyle w:val="Default"/>
        <w:spacing w:lineRule="auto" w:line="276"/>
        <w:jc w:val="both"/>
        <w:rPr>
          <w:rFonts w:ascii="Times New Roman" w:hAnsi="Times New Roman" w:cs="Calibri"/>
          <w:color w:val="1B1B1B"/>
          <w:sz w:val="28"/>
          <w:szCs w:val="28"/>
          <w:lang w:val="it-IT"/>
        </w:rPr>
      </w:pPr>
      <w:r>
        <w:rPr>
          <w:rFonts w:cs="Calibri" w:ascii="Times New Roman" w:hAnsi="Times New Roman"/>
          <w:color w:val="1B1B1B"/>
          <w:sz w:val="28"/>
          <w:szCs w:val="28"/>
          <w:lang w:val="it-IT"/>
        </w:rPr>
      </w:r>
    </w:p>
    <w:p>
      <w:pPr>
        <w:pStyle w:val="Default"/>
        <w:spacing w:lineRule="auto" w:line="276"/>
        <w:jc w:val="both"/>
        <w:rPr>
          <w:color w:val="CE181E"/>
        </w:rPr>
      </w:pPr>
      <w:r>
        <w:rPr>
          <w:rFonts w:cs="Calibri" w:ascii="Times New Roman" w:hAnsi="Times New Roman"/>
          <w:color w:val="1B1B1B"/>
          <w:sz w:val="28"/>
          <w:szCs w:val="28"/>
          <w:lang w:val="it-IT"/>
        </w:rPr>
        <w:t xml:space="preserve">10) non può essere nominato </w:t>
      </w:r>
      <w:r>
        <w:rPr>
          <w:rFonts w:cs="Calibri" w:ascii="Times New Roman" w:hAnsi="Times New Roman"/>
          <w:b w:val="false"/>
          <w:bCs w:val="false"/>
          <w:color w:val="1B1B1B"/>
          <w:sz w:val="28"/>
          <w:szCs w:val="28"/>
          <w:lang w:val="it-IT"/>
        </w:rPr>
        <w:t>Responsabile contro abusi, violenze e discriminazioni</w:t>
      </w:r>
      <w:r>
        <w:rPr>
          <w:rFonts w:cs="Calibri" w:ascii="Times New Roman" w:hAnsi="Times New Roman"/>
          <w:color w:val="1B1B1B"/>
          <w:sz w:val="28"/>
          <w:szCs w:val="28"/>
          <w:lang w:val="it-IT"/>
        </w:rPr>
        <w:t xml:space="preserve">, e, se nominato decade, l’interdetto, l’inabilitato, il fallito o chi è stato condannato, ancorché con condanna non definitiva, ad una pena che comporti l’interdizione, anche temporanea, dai pubblici uffici o l’incapacità ad esercitare uffici direttivi, ovvero sia stato condannato, anche con sentenza non definitiva o con sentenza di patteggiamento, per aver commesso uno dei reati previsti dal D.Lgs. 231/2001 ovvero per aver commesso </w:t>
      </w:r>
      <w:r>
        <w:rPr>
          <w:rFonts w:cs="Calibri" w:ascii="Times New Roman" w:hAnsi="Times New Roman"/>
          <w:b w:val="false"/>
          <w:bCs w:val="false"/>
          <w:color w:val="1B1B1B"/>
          <w:sz w:val="28"/>
          <w:szCs w:val="28"/>
          <w:lang w:val="it-IT"/>
        </w:rPr>
        <w:t>reati di violenza, contro la persona e/o caratterizzati da finalità di discriminazione o di odio etnico, nazionale, razziale o religioso presente negli elementi costitutivi del reato ovvero sotto forma di circostanze aggravati, generali o speciali.</w:t>
      </w:r>
    </w:p>
    <w:p>
      <w:pPr>
        <w:pStyle w:val="Default"/>
        <w:spacing w:lineRule="auto" w:line="276"/>
        <w:jc w:val="both"/>
        <w:rPr>
          <w:rFonts w:ascii="Times New Roman" w:hAnsi="Times New Roman" w:cs="Calibri"/>
          <w:color w:val="1B1B1B"/>
          <w:sz w:val="28"/>
          <w:szCs w:val="28"/>
          <w:lang w:val="it-IT"/>
        </w:rPr>
      </w:pPr>
      <w:r>
        <w:rPr>
          <w:rFonts w:cs="Calibri" w:ascii="Times New Roman" w:hAnsi="Times New Roman"/>
          <w:color w:val="1B1B1B"/>
          <w:sz w:val="28"/>
          <w:szCs w:val="28"/>
          <w:lang w:val="it-IT"/>
        </w:rPr>
      </w:r>
    </w:p>
    <w:p>
      <w:pPr>
        <w:pStyle w:val="Normal"/>
        <w:spacing w:lineRule="auto" w:line="276"/>
        <w:ind w:left="0" w:right="0" w:hanging="0"/>
        <w:jc w:val="both"/>
        <w:rPr>
          <w:rFonts w:ascii="Times New Roman" w:hAnsi="Times New Roman"/>
        </w:rPr>
      </w:pPr>
      <w:r>
        <w:rPr>
          <w:rFonts w:cs="Calibri" w:ascii="Times New Roman" w:hAnsi="Times New Roman"/>
          <w:color w:val="1B1B1B"/>
          <w:sz w:val="28"/>
          <w:szCs w:val="28"/>
          <w:lang w:val="it-IT"/>
        </w:rPr>
        <w:t xml:space="preserve">I candidati alla carica di </w:t>
      </w:r>
      <w:bookmarkStart w:id="2" w:name="__DdeLink__831_951557274"/>
      <w:r>
        <w:rPr>
          <w:rFonts w:cs="Calibri" w:ascii="Times New Roman" w:hAnsi="Times New Roman"/>
          <w:b w:val="false"/>
          <w:bCs w:val="false"/>
          <w:color w:val="1B1B1B"/>
          <w:sz w:val="28"/>
          <w:szCs w:val="28"/>
          <w:lang w:val="it-IT"/>
        </w:rPr>
        <w:t>Responsabile contro abusi, violenze e discriminazioni</w:t>
      </w:r>
      <w:bookmarkEnd w:id="2"/>
      <w:r>
        <w:rPr>
          <w:rFonts w:cs="Calibri" w:ascii="Times New Roman" w:hAnsi="Times New Roman"/>
          <w:color w:val="1B1B1B"/>
          <w:sz w:val="28"/>
          <w:szCs w:val="28"/>
          <w:lang w:val="it-IT"/>
        </w:rPr>
        <w:t xml:space="preserve"> debbono autocertificare con dichiarazione sostitutiva di notorietà di non trovarsi in alcuna delle condizioni indicate dal numero 1 al numero 10, impegnandosi espressamente a comunicare eventuali variazioni rispetto al contenuto di tali dichiarazioni.</w:t>
      </w:r>
    </w:p>
    <w:p>
      <w:pPr>
        <w:pStyle w:val="Normal"/>
        <w:spacing w:lineRule="auto" w:line="276"/>
        <w:ind w:left="0" w:right="0" w:hanging="0"/>
        <w:jc w:val="both"/>
        <w:rPr>
          <w:rFonts w:ascii="Times New Roman" w:hAnsi="Times New Roman" w:cs="Calibri"/>
          <w:color w:val="1B1B1B"/>
          <w:sz w:val="28"/>
          <w:szCs w:val="28"/>
          <w:lang w:val="it-IT"/>
        </w:rPr>
      </w:pPr>
      <w:r>
        <w:rPr>
          <w:rFonts w:cs="Calibri" w:ascii="Times New Roman" w:hAnsi="Times New Roman"/>
          <w:color w:val="1B1B1B"/>
          <w:sz w:val="28"/>
          <w:szCs w:val="28"/>
          <w:lang w:val="it-IT"/>
        </w:rPr>
      </w:r>
    </w:p>
    <w:p>
      <w:pPr>
        <w:pStyle w:val="Default"/>
        <w:spacing w:lineRule="auto" w:line="276"/>
        <w:ind w:left="0" w:right="0" w:hanging="0"/>
        <w:jc w:val="both"/>
        <w:rPr/>
      </w:pPr>
      <w:r>
        <w:rPr>
          <w:rFonts w:cs="Calibri" w:ascii="Times New Roman" w:hAnsi="Times New Roman"/>
          <w:color w:val="1B1B1B"/>
          <w:sz w:val="28"/>
          <w:szCs w:val="28"/>
          <w:lang w:val="it-IT"/>
        </w:rPr>
        <w:t xml:space="preserve">Il Consiglio direttivo di </w:t>
      </w:r>
      <w:bookmarkStart w:id="3" w:name="__DdeLink__604_39313357931"/>
      <w:r>
        <w:rPr>
          <w:rFonts w:cs="Calibri" w:ascii="Times New Roman" w:hAnsi="Times New Roman"/>
          <w:color w:val="1B1B1B"/>
          <w:sz w:val="28"/>
          <w:szCs w:val="28"/>
          <w:lang w:val="it-IT"/>
        </w:rPr>
        <w:t>P</w:t>
      </w:r>
      <w:bookmarkEnd w:id="3"/>
      <w:r>
        <w:rPr>
          <w:rFonts w:cs="Calibri" w:ascii="Times New Roman" w:hAnsi="Times New Roman"/>
          <w:color w:val="1B1B1B"/>
          <w:sz w:val="28"/>
          <w:szCs w:val="28"/>
          <w:lang w:val="it-IT"/>
        </w:rPr>
        <w:t>IELLE</w:t>
      </w:r>
      <w:r>
        <w:rPr>
          <w:rFonts w:cs="Calibri" w:ascii="Times New Roman" w:hAnsi="Times New Roman"/>
          <w:color w:val="1B1B1B"/>
          <w:sz w:val="28"/>
          <w:szCs w:val="28"/>
          <w:lang w:val="it-IT"/>
        </w:rPr>
        <w:t xml:space="preserve"> può revocare il </w:t>
      </w:r>
      <w:r>
        <w:rPr>
          <w:rFonts w:cs="Calibri" w:ascii="Times New Roman" w:hAnsi="Times New Roman"/>
          <w:b w:val="false"/>
          <w:bCs w:val="false"/>
          <w:color w:val="1B1B1B"/>
          <w:sz w:val="28"/>
          <w:szCs w:val="28"/>
          <w:lang w:val="it-IT"/>
        </w:rPr>
        <w:t>Responsabile contro abusi, violenze e discriminazioni</w:t>
      </w:r>
      <w:r>
        <w:rPr>
          <w:rFonts w:cs="Calibri" w:ascii="Times New Roman" w:hAnsi="Times New Roman"/>
          <w:color w:val="1B1B1B"/>
          <w:sz w:val="28"/>
          <w:szCs w:val="28"/>
          <w:lang w:val="it-IT"/>
        </w:rPr>
        <w:t xml:space="preserve"> nei casi in cui si verifichino rilevanti inadempimenti rispetto al mandato conferito; per ipotesi di violazione degli obblighi di riservatezza, nonché quando si manifestino cause di ineleggibilità di cui sopra, anteriori alla nomina a </w:t>
      </w:r>
      <w:r>
        <w:rPr>
          <w:rFonts w:cs="Calibri" w:ascii="Times New Roman" w:hAnsi="Times New Roman"/>
          <w:b w:val="false"/>
          <w:bCs w:val="false"/>
          <w:color w:val="1B1B1B"/>
          <w:sz w:val="28"/>
          <w:szCs w:val="28"/>
          <w:lang w:val="it-IT"/>
        </w:rPr>
        <w:t>Responsabile contro abusi, violenze e discriminazioni</w:t>
      </w:r>
      <w:r>
        <w:rPr>
          <w:rFonts w:cs="Calibri" w:ascii="Times New Roman" w:hAnsi="Times New Roman"/>
          <w:color w:val="1B1B1B"/>
          <w:sz w:val="28"/>
          <w:szCs w:val="28"/>
          <w:lang w:val="it-IT"/>
        </w:rPr>
        <w:t xml:space="preserve"> e non indicate nell’autocertificazione; quando intervengano le cause di decadenza di seguito specificate. </w:t>
      </w:r>
    </w:p>
    <w:p>
      <w:pPr>
        <w:pStyle w:val="Default"/>
        <w:spacing w:lineRule="auto" w:line="276"/>
        <w:jc w:val="both"/>
        <w:rPr>
          <w:rFonts w:ascii="Times New Roman" w:hAnsi="Times New Roman" w:cs="Calibri"/>
          <w:b/>
          <w:b/>
          <w:bCs/>
          <w:color w:val="1B1B1B"/>
          <w:sz w:val="28"/>
          <w:szCs w:val="28"/>
          <w:lang w:val="it-IT"/>
        </w:rPr>
      </w:pPr>
      <w:r>
        <w:rPr>
          <w:rFonts w:cs="Calibri" w:ascii="Times New Roman" w:hAnsi="Times New Roman"/>
          <w:b/>
          <w:bCs/>
          <w:color w:val="1B1B1B"/>
          <w:sz w:val="28"/>
          <w:szCs w:val="28"/>
          <w:lang w:val="it-IT"/>
        </w:rPr>
      </w:r>
    </w:p>
    <w:p>
      <w:pPr>
        <w:pStyle w:val="Default"/>
        <w:spacing w:lineRule="auto" w:line="276"/>
        <w:jc w:val="both"/>
        <w:rPr>
          <w:rFonts w:ascii="Calibri" w:hAnsi="Calibri" w:cs="Calibri"/>
          <w:b/>
          <w:b/>
          <w:bCs/>
          <w:sz w:val="28"/>
          <w:szCs w:val="28"/>
          <w:lang w:val="it-IT"/>
        </w:rPr>
      </w:pPr>
      <w:r>
        <w:rPr>
          <w:rFonts w:cs="Calibri" w:ascii="Times New Roman" w:hAnsi="Times New Roman"/>
          <w:b/>
          <w:bCs/>
          <w:color w:val="1B1B1B"/>
          <w:sz w:val="28"/>
          <w:szCs w:val="28"/>
          <w:lang w:val="it-IT"/>
        </w:rPr>
        <w:t xml:space="preserve">Decadenza </w:t>
      </w:r>
    </w:p>
    <w:p>
      <w:pPr>
        <w:pStyle w:val="Default"/>
        <w:spacing w:lineRule="auto" w:line="276"/>
        <w:jc w:val="both"/>
        <w:rPr>
          <w:color w:val="CE181E"/>
        </w:rPr>
      </w:pPr>
      <w:r>
        <w:rPr>
          <w:rFonts w:cs="Calibri" w:ascii="Times New Roman" w:hAnsi="Times New Roman"/>
          <w:b w:val="false"/>
          <w:bCs w:val="false"/>
          <w:color w:val="1B1B1B"/>
          <w:sz w:val="28"/>
          <w:szCs w:val="28"/>
          <w:lang w:val="it-IT"/>
        </w:rPr>
        <w:t>Il Responsabile contro abusi, violenze e discriminazioni</w:t>
      </w:r>
      <w:r>
        <w:rPr>
          <w:rFonts w:cs="Calibri" w:ascii="Times New Roman" w:hAnsi="Times New Roman"/>
          <w:color w:val="1B1B1B"/>
          <w:sz w:val="28"/>
          <w:szCs w:val="28"/>
          <w:lang w:val="it-IT"/>
        </w:rPr>
        <w:t xml:space="preserve"> decade dalla carica nel momento in cui vengano a trovarsi successivamente alla sua nomina: </w:t>
      </w:r>
    </w:p>
    <w:p>
      <w:pPr>
        <w:pStyle w:val="Default"/>
        <w:numPr>
          <w:ilvl w:val="0"/>
          <w:numId w:val="1"/>
        </w:numPr>
        <w:spacing w:lineRule="auto" w:line="276" w:before="0" w:after="142"/>
        <w:jc w:val="both"/>
        <w:rPr>
          <w:rFonts w:ascii="Calibri" w:hAnsi="Calibri" w:cs="Calibri"/>
          <w:sz w:val="28"/>
          <w:szCs w:val="28"/>
          <w:lang w:val="it-IT"/>
        </w:rPr>
      </w:pPr>
      <w:r>
        <w:rPr>
          <w:rFonts w:cs="Calibri" w:ascii="Times New Roman" w:hAnsi="Times New Roman"/>
          <w:color w:val="1B1B1B"/>
          <w:sz w:val="28"/>
          <w:szCs w:val="28"/>
          <w:lang w:val="it-IT"/>
        </w:rPr>
        <w:t xml:space="preserve"> </w:t>
      </w:r>
      <w:r>
        <w:rPr>
          <w:rFonts w:cs="Calibri" w:ascii="Times New Roman" w:hAnsi="Times New Roman"/>
          <w:color w:val="1B1B1B"/>
          <w:sz w:val="28"/>
          <w:szCs w:val="28"/>
          <w:lang w:val="it-IT"/>
        </w:rPr>
        <w:t xml:space="preserve">in una delle situazioni contemplate nell’art. 2399 c.c.; </w:t>
      </w:r>
    </w:p>
    <w:p>
      <w:pPr>
        <w:pStyle w:val="Default"/>
        <w:numPr>
          <w:ilvl w:val="0"/>
          <w:numId w:val="1"/>
        </w:numPr>
        <w:spacing w:lineRule="auto" w:line="276" w:before="0" w:after="142"/>
        <w:jc w:val="both"/>
        <w:rPr>
          <w:color w:val="CE181E"/>
        </w:rPr>
      </w:pPr>
      <w:r>
        <w:rPr>
          <w:rFonts w:cs="Calibri" w:ascii="Times New Roman" w:hAnsi="Times New Roman"/>
          <w:color w:val="1B1B1B"/>
          <w:sz w:val="28"/>
          <w:szCs w:val="28"/>
          <w:lang w:val="it-IT"/>
        </w:rPr>
        <w:t>condannato con sentenza definitiva (intendendosi per sentenza di condanna anche quella pronunciata ex art. 444 c.p.p.) per uno dei reati indicati ai numeri 1, 2, 3, 4, 5, 6, 7 e 10 delle condizioni di ineleggibilità innanzi indicate.</w:t>
      </w:r>
    </w:p>
    <w:p>
      <w:pPr>
        <w:pStyle w:val="Default"/>
        <w:spacing w:lineRule="auto" w:line="276"/>
        <w:jc w:val="both"/>
        <w:rPr>
          <w:rFonts w:ascii="Times New Roman" w:hAnsi="Times New Roman" w:cs="Calibri"/>
          <w:color w:val="1B1B1B"/>
          <w:sz w:val="28"/>
          <w:szCs w:val="28"/>
          <w:lang w:val="it-IT"/>
        </w:rPr>
      </w:pPr>
      <w:r>
        <w:rPr>
          <w:rFonts w:cs="Calibri" w:ascii="Times New Roman" w:hAnsi="Times New Roman"/>
          <w:color w:val="1B1B1B"/>
          <w:sz w:val="28"/>
          <w:szCs w:val="28"/>
          <w:lang w:val="it-IT"/>
        </w:rPr>
      </w:r>
    </w:p>
    <w:p>
      <w:pPr>
        <w:pStyle w:val="Default"/>
        <w:spacing w:lineRule="auto" w:line="276"/>
        <w:jc w:val="both"/>
        <w:rPr>
          <w:rFonts w:ascii="Calibri" w:hAnsi="Calibri" w:cs="Calibri"/>
          <w:b/>
          <w:b/>
          <w:bCs/>
          <w:sz w:val="28"/>
          <w:szCs w:val="28"/>
          <w:lang w:val="it-IT"/>
        </w:rPr>
      </w:pPr>
      <w:r>
        <w:rPr>
          <w:rFonts w:cs="Calibri" w:ascii="Times New Roman" w:hAnsi="Times New Roman"/>
          <w:b/>
          <w:bCs/>
          <w:color w:val="1B1B1B"/>
          <w:sz w:val="28"/>
          <w:szCs w:val="28"/>
          <w:lang w:val="it-IT"/>
        </w:rPr>
        <w:t xml:space="preserve">Sospensione </w:t>
      </w:r>
    </w:p>
    <w:p>
      <w:pPr>
        <w:pStyle w:val="Default"/>
        <w:spacing w:lineRule="auto" w:line="276"/>
        <w:jc w:val="both"/>
        <w:rPr>
          <w:color w:val="CE181E"/>
        </w:rPr>
      </w:pPr>
      <w:r>
        <w:rPr>
          <w:rFonts w:cs="Calibri" w:ascii="Times New Roman" w:hAnsi="Times New Roman"/>
          <w:color w:val="1B1B1B"/>
          <w:sz w:val="28"/>
          <w:szCs w:val="28"/>
          <w:lang w:val="it-IT"/>
        </w:rPr>
        <w:t xml:space="preserve">Costituiscono cause di sospensione dalla funzione di </w:t>
      </w:r>
      <w:r>
        <w:rPr>
          <w:rFonts w:cs="Calibri" w:ascii="Times New Roman" w:hAnsi="Times New Roman"/>
          <w:b w:val="false"/>
          <w:bCs w:val="false"/>
          <w:color w:val="1B1B1B"/>
          <w:sz w:val="28"/>
          <w:szCs w:val="28"/>
          <w:lang w:val="it-IT"/>
        </w:rPr>
        <w:t xml:space="preserve">Responsabile contro abusi, violenze e discriminazioni </w:t>
      </w:r>
      <w:r>
        <w:rPr>
          <w:rFonts w:cs="Calibri" w:ascii="Times New Roman" w:hAnsi="Times New Roman"/>
          <w:color w:val="1B1B1B"/>
          <w:sz w:val="28"/>
          <w:szCs w:val="28"/>
          <w:lang w:val="it-IT"/>
        </w:rPr>
        <w:t xml:space="preserve">: </w:t>
      </w:r>
    </w:p>
    <w:p>
      <w:pPr>
        <w:pStyle w:val="Default"/>
        <w:numPr>
          <w:ilvl w:val="0"/>
          <w:numId w:val="2"/>
        </w:numPr>
        <w:spacing w:lineRule="auto" w:line="276" w:before="0" w:after="140"/>
        <w:jc w:val="both"/>
        <w:rPr>
          <w:color w:val="CE181E"/>
        </w:rPr>
      </w:pPr>
      <w:r>
        <w:rPr>
          <w:rFonts w:cs="Calibri" w:ascii="Times New Roman" w:hAnsi="Times New Roman"/>
          <w:color w:val="1B1B1B"/>
          <w:sz w:val="28"/>
          <w:szCs w:val="28"/>
          <w:lang w:val="it-IT"/>
        </w:rPr>
        <w:t xml:space="preserve"> </w:t>
      </w:r>
      <w:r>
        <w:rPr>
          <w:rFonts w:cs="Calibri" w:ascii="Times New Roman" w:hAnsi="Times New Roman"/>
          <w:color w:val="1B1B1B"/>
          <w:sz w:val="28"/>
          <w:szCs w:val="28"/>
          <w:lang w:val="it-IT"/>
        </w:rPr>
        <w:t xml:space="preserve">la condanna con sentenza non definitiva per uno dei reati dei numeri da 1 a 7 e 10 delle condizioni di ineleggibilità innanzi indicate; </w:t>
      </w:r>
    </w:p>
    <w:p>
      <w:pPr>
        <w:pStyle w:val="Default"/>
        <w:numPr>
          <w:ilvl w:val="0"/>
          <w:numId w:val="2"/>
        </w:numPr>
        <w:spacing w:lineRule="auto" w:line="276" w:before="0" w:after="140"/>
        <w:jc w:val="both"/>
        <w:rPr>
          <w:color w:val="CE181E"/>
        </w:rPr>
      </w:pPr>
      <w:r>
        <w:rPr>
          <w:rFonts w:cs="Calibri" w:ascii="Times New Roman" w:hAnsi="Times New Roman"/>
          <w:color w:val="1B1B1B"/>
          <w:sz w:val="28"/>
          <w:szCs w:val="28"/>
          <w:lang w:val="it-IT"/>
        </w:rPr>
        <w:t xml:space="preserve">l’applicazione su richiesta delle parti di una delle pene di cui ai numeri da 1 a 7 e 10 delle condizioni di ineleggibilità innanzi indicate; </w:t>
      </w:r>
    </w:p>
    <w:p>
      <w:pPr>
        <w:pStyle w:val="Default"/>
        <w:numPr>
          <w:ilvl w:val="0"/>
          <w:numId w:val="2"/>
        </w:numPr>
        <w:spacing w:lineRule="auto" w:line="276" w:before="0" w:after="140"/>
        <w:jc w:val="both"/>
        <w:rPr>
          <w:rFonts w:ascii="Calibri" w:hAnsi="Calibri" w:cs="Calibri"/>
          <w:sz w:val="28"/>
          <w:szCs w:val="28"/>
          <w:lang w:val="it-IT"/>
        </w:rPr>
      </w:pPr>
      <w:r>
        <w:rPr>
          <w:rFonts w:cs="Calibri" w:ascii="Times New Roman" w:hAnsi="Times New Roman"/>
          <w:color w:val="1B1B1B"/>
          <w:sz w:val="28"/>
          <w:szCs w:val="28"/>
          <w:lang w:val="it-IT"/>
        </w:rPr>
        <w:t xml:space="preserve">l’applicazione di una misura cautelare personale; </w:t>
      </w:r>
    </w:p>
    <w:p>
      <w:pPr>
        <w:pStyle w:val="Default"/>
        <w:numPr>
          <w:ilvl w:val="0"/>
          <w:numId w:val="2"/>
        </w:numPr>
        <w:spacing w:lineRule="auto" w:line="276"/>
        <w:jc w:val="both"/>
        <w:rPr>
          <w:rFonts w:ascii="Calibri" w:hAnsi="Calibri" w:cs="Calibri"/>
          <w:sz w:val="28"/>
          <w:szCs w:val="28"/>
          <w:lang w:val="it-IT"/>
        </w:rPr>
      </w:pPr>
      <w:r>
        <w:rPr>
          <w:rFonts w:cs="Calibri" w:ascii="Times New Roman" w:hAnsi="Times New Roman"/>
          <w:color w:val="1B1B1B"/>
          <w:sz w:val="28"/>
          <w:szCs w:val="28"/>
          <w:lang w:val="it-IT"/>
        </w:rPr>
        <w:t xml:space="preserve"> </w:t>
      </w:r>
      <w:r>
        <w:rPr>
          <w:rFonts w:cs="Calibri" w:ascii="Times New Roman" w:hAnsi="Times New Roman"/>
          <w:color w:val="1B1B1B"/>
          <w:sz w:val="28"/>
          <w:szCs w:val="28"/>
          <w:lang w:val="it-IT"/>
        </w:rPr>
        <w:t xml:space="preserve">l’applicazione provvisoria di una delle misure di prevenzione previste dall’art. 10, comma 3, della legge 31 maggio 1965, n. 575, come sostituito dall’articolo 3 della legge 19 marzo 1990, n. 55 e successive modificazioni. </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Roboto">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8"/>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Symbol" w:hAnsi="Symbol" w:cs="Symbol" w:hint="default"/>
        <w:sz w:val="28"/>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it-IT"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it-IT" w:eastAsia="zh-CN" w:bidi="hi-IN"/>
    </w:rPr>
  </w:style>
  <w:style w:type="character" w:styleId="ListLabel6">
    <w:name w:val="ListLabel 6"/>
    <w:qFormat/>
    <w:rPr>
      <w:rFonts w:ascii="Calibri" w:hAnsi="Calibri" w:cs="Calibri"/>
      <w:sz w:val="28"/>
      <w:szCs w:val="28"/>
    </w:rPr>
  </w:style>
  <w:style w:type="character" w:styleId="ListLabel5">
    <w:name w:val="ListLabel 5"/>
    <w:qFormat/>
    <w:rPr>
      <w:rFonts w:ascii="Calibri" w:hAnsi="Calibri" w:cs="Symbol"/>
      <w:sz w:val="28"/>
    </w:rPr>
  </w:style>
  <w:style w:type="character" w:styleId="ListLabel4">
    <w:name w:val="ListLabel 4"/>
    <w:qFormat/>
    <w:rPr>
      <w:rFonts w:ascii="Calibri" w:hAnsi="Calibri" w:cs="Symbol"/>
      <w:sz w:val="28"/>
    </w:rPr>
  </w:style>
  <w:style w:type="character" w:styleId="ListLabel3">
    <w:name w:val="ListLabel 3"/>
    <w:qFormat/>
    <w:rPr>
      <w:rFonts w:ascii="Calibri" w:hAnsi="Calibri" w:cs="Calibri"/>
      <w:sz w:val="28"/>
    </w:rPr>
  </w:style>
  <w:style w:type="character" w:styleId="ListLabel2">
    <w:name w:val="ListLabel 2"/>
    <w:qFormat/>
    <w:rPr>
      <w:rFonts w:ascii="Calibri" w:hAnsi="Calibri" w:cs="Calibri"/>
      <w:sz w:val="28"/>
      <w:szCs w:val="28"/>
    </w:rPr>
  </w:style>
  <w:style w:type="character" w:styleId="ListLabel1">
    <w:name w:val="ListLabel 1"/>
    <w:qFormat/>
    <w:rPr>
      <w:rFonts w:ascii="Calibri" w:hAnsi="Calibri" w:eastAsia="Calibri" w:cs="Calibri"/>
      <w:sz w:val="28"/>
    </w:rPr>
  </w:style>
  <w:style w:type="character" w:styleId="CollegamentoInternet">
    <w:name w:val="Collegamento Internet"/>
    <w:rPr>
      <w:color w:val="0000FF"/>
      <w:u w:val="single"/>
    </w:rPr>
  </w:style>
  <w:style w:type="character" w:styleId="DefaultParagraphFont">
    <w:name w:val="Default Paragraph Font"/>
    <w:qFormat/>
    <w:rPr/>
  </w:style>
  <w:style w:type="character" w:styleId="ListLabel7">
    <w:name w:val="ListLabel 7"/>
    <w:qFormat/>
    <w:rPr>
      <w:rFonts w:ascii="Calibri" w:hAnsi="Calibri" w:cs="Symbol"/>
      <w:sz w:val="28"/>
    </w:rPr>
  </w:style>
  <w:style w:type="character" w:styleId="ListLabel8">
    <w:name w:val="ListLabel 8"/>
    <w:qFormat/>
    <w:rPr>
      <w:rFonts w:ascii="Calibri" w:hAnsi="Calibri" w:cs="Symbol"/>
      <w:sz w:val="28"/>
    </w:rPr>
  </w:style>
  <w:style w:type="character" w:styleId="ListLabel9">
    <w:name w:val="ListLabel 9"/>
    <w:qFormat/>
    <w:rPr>
      <w:rFonts w:ascii="Calibri" w:hAnsi="Calibri" w:cs="Symbol"/>
      <w:sz w:val="28"/>
    </w:rPr>
  </w:style>
  <w:style w:type="character" w:styleId="ListLabel10">
    <w:name w:val="ListLabel 10"/>
    <w:qFormat/>
    <w:rPr>
      <w:rFonts w:ascii="Calibri" w:hAnsi="Calibri" w:cs="Symbol"/>
      <w:sz w:val="28"/>
    </w:rPr>
  </w:style>
  <w:style w:type="character" w:styleId="ListLabel11">
    <w:name w:val="ListLabel 11"/>
    <w:qFormat/>
    <w:rPr>
      <w:rFonts w:ascii="Calibri" w:hAnsi="Calibri" w:cs="Symbol"/>
      <w:sz w:val="28"/>
    </w:rPr>
  </w:style>
  <w:style w:type="character" w:styleId="ListLabel12">
    <w:name w:val="ListLabel 12"/>
    <w:qFormat/>
    <w:rPr>
      <w:rFonts w:ascii="Calibri" w:hAnsi="Calibri" w:cs="Symbol"/>
      <w:sz w:val="28"/>
    </w:rPr>
  </w:style>
  <w:style w:type="character" w:styleId="ListLabel13">
    <w:name w:val="ListLabel 13"/>
    <w:qFormat/>
    <w:rPr>
      <w:rFonts w:ascii="Calibri" w:hAnsi="Calibri" w:cs="Symbol"/>
      <w:sz w:val="28"/>
    </w:rPr>
  </w:style>
  <w:style w:type="character" w:styleId="ListLabel14">
    <w:name w:val="ListLabel 14"/>
    <w:qFormat/>
    <w:rPr>
      <w:rFonts w:ascii="Calibri" w:hAnsi="Calibri" w:cs="Symbol"/>
      <w:sz w:val="28"/>
    </w:rPr>
  </w:style>
  <w:style w:type="character" w:styleId="ListLabel15">
    <w:name w:val="ListLabel 15"/>
    <w:qFormat/>
    <w:rPr>
      <w:rFonts w:ascii="Calibri" w:hAnsi="Calibri" w:cs="Symbol"/>
      <w:sz w:val="28"/>
    </w:rPr>
  </w:style>
  <w:style w:type="character" w:styleId="ListLabel16">
    <w:name w:val="ListLabel 16"/>
    <w:qFormat/>
    <w:rPr>
      <w:rFonts w:ascii="Calibri" w:hAnsi="Calibri" w:cs="Symbol"/>
      <w:sz w:val="28"/>
    </w:rPr>
  </w:style>
  <w:style w:type="character" w:styleId="ListLabel17">
    <w:name w:val="ListLabel 17"/>
    <w:qFormat/>
    <w:rPr>
      <w:rFonts w:ascii="Calibri" w:hAnsi="Calibri" w:cs="Symbol"/>
      <w:sz w:val="28"/>
    </w:rPr>
  </w:style>
  <w:style w:type="character" w:styleId="ListLabel18">
    <w:name w:val="ListLabel 18"/>
    <w:qFormat/>
    <w:rPr>
      <w:rFonts w:ascii="Calibri" w:hAnsi="Calibri" w:cs="Symbol"/>
      <w:sz w:val="2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ontenutocornice">
    <w:name w:val="Contenuto cornice"/>
    <w:basedOn w:val="Normal"/>
    <w:qFormat/>
    <w:pPr/>
    <w:rPr/>
  </w:style>
  <w:style w:type="paragraph" w:styleId="ListParagraph">
    <w:name w:val="List Paragraph"/>
    <w:basedOn w:val="Normal"/>
    <w:qFormat/>
    <w:pPr>
      <w:spacing w:before="0" w:after="200"/>
      <w:ind w:left="720" w:right="0" w:hanging="0"/>
      <w:contextualSpacing/>
      <w:jc w:val="left"/>
    </w:pPr>
    <w:rPr>
      <w:rFonts w:ascii="Calibri" w:hAnsi="Calibri" w:cs="Arial"/>
      <w:sz w:val="22"/>
      <w:szCs w:val="22"/>
    </w:rPr>
  </w:style>
  <w:style w:type="paragraph" w:styleId="Default">
    <w:name w:val="Default"/>
    <w:qFormat/>
    <w:pPr>
      <w:widowControl/>
      <w:overflowPunct w:val="true"/>
      <w:bidi w:val="0"/>
      <w:spacing w:lineRule="auto" w:line="240" w:before="0" w:after="0"/>
      <w:jc w:val="left"/>
    </w:pPr>
    <w:rPr>
      <w:rFonts w:ascii="Roboto" w:hAnsi="Roboto" w:eastAsia="Calibri" w:cs="Roboto"/>
      <w:color w:val="000000"/>
      <w:kern w:val="0"/>
      <w:sz w:val="24"/>
      <w:szCs w:val="24"/>
      <w:lang w:val="it-IT"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LibreOffice/6.1.3.2$Windows_X86_64 LibreOffice_project/86daf60bf00efa86ad547e59e09d6bb77c699acb</Application>
  <Pages>4</Pages>
  <Words>859</Words>
  <Characters>4966</Characters>
  <CharactersWithSpaces>5811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2023-11-06T15:38:48Z</dcterms:created>
  <dc:creator/>
  <dc:description/>
  <dc:language>en-GB</dc:language>
  <cp:lastModifiedBy/>
  <dcterms:modified xsi:type="dcterms:W3CDTF">2024-09-02T19:22:20Z</dcterms:modified>
  <cp:revision>12</cp:revision>
  <dc:subject/>
  <dc:title/>
</cp:coreProperties>
</file>